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899D">
      <w:pPr>
        <w:shd w:val="clear" w:color="auto" w:fill="FFFFFF"/>
        <w:kinsoku/>
        <w:autoSpaceDE/>
        <w:autoSpaceDN/>
        <w:adjustRightInd/>
        <w:snapToGrid/>
        <w:ind w:firstLine="160" w:firstLineChars="50"/>
        <w:jc w:val="left"/>
        <w:textAlignment w:val="auto"/>
        <w:rPr>
          <w:rFonts w:hint="eastAsia" w:ascii="仿宋_GB2312" w:hAnsi="仿宋_GB2312" w:eastAsia="仿宋_GB2312" w:cs="仿宋_GB2312"/>
          <w:snapToGrid/>
          <w:sz w:val="32"/>
          <w:szCs w:val="32"/>
          <w:lang w:val="en-US" w:eastAsia="zh-CN"/>
        </w:rPr>
      </w:pPr>
      <w:bookmarkStart w:id="0" w:name="_GoBack"/>
      <w:r>
        <w:rPr>
          <w:rFonts w:hint="eastAsia" w:ascii="仿宋_GB2312" w:hAnsi="仿宋_GB2312" w:eastAsia="仿宋_GB2312" w:cs="仿宋_GB2312"/>
          <w:snapToGrid/>
          <w:sz w:val="32"/>
          <w:szCs w:val="32"/>
          <w:lang w:eastAsia="zh-CN"/>
        </w:rPr>
        <w:t>附件</w:t>
      </w:r>
      <w:r>
        <w:rPr>
          <w:rFonts w:hint="eastAsia" w:ascii="仿宋_GB2312" w:hAnsi="仿宋_GB2312" w:eastAsia="仿宋_GB2312" w:cs="仿宋_GB2312"/>
          <w:snapToGrid/>
          <w:sz w:val="32"/>
          <w:szCs w:val="32"/>
          <w:lang w:val="en-US" w:eastAsia="zh-CN"/>
        </w:rPr>
        <w:t>2：</w:t>
      </w:r>
    </w:p>
    <w:bookmarkEnd w:id="0"/>
    <w:p w14:paraId="05ABFD7C">
      <w:pPr>
        <w:shd w:val="clear" w:color="auto" w:fill="FFFFFF"/>
        <w:kinsoku/>
        <w:autoSpaceDE/>
        <w:autoSpaceDN/>
        <w:adjustRightInd/>
        <w:snapToGrid/>
        <w:ind w:firstLine="220" w:firstLineChars="50"/>
        <w:jc w:val="center"/>
        <w:textAlignment w:val="auto"/>
        <w:rPr>
          <w:rFonts w:ascii="方正小标宋简体" w:hAnsi="方正小标宋简体" w:eastAsia="方正小标宋简体"/>
          <w:snapToGrid/>
          <w:sz w:val="44"/>
          <w:szCs w:val="44"/>
          <w:lang w:eastAsia="zh-CN"/>
        </w:rPr>
      </w:pPr>
      <w:r>
        <w:rPr>
          <w:rFonts w:hint="eastAsia" w:ascii="方正小标宋简体" w:hAnsi="方正小标宋简体" w:eastAsia="方正小标宋简体"/>
          <w:snapToGrid/>
          <w:sz w:val="44"/>
          <w:szCs w:val="44"/>
          <w:lang w:eastAsia="zh-CN"/>
        </w:rPr>
        <w:t>泰安</w:t>
      </w:r>
      <w:r>
        <w:rPr>
          <w:rFonts w:ascii="方正小标宋简体" w:hAnsi="方正小标宋简体" w:eastAsia="方正小标宋简体"/>
          <w:snapToGrid/>
          <w:sz w:val="44"/>
          <w:szCs w:val="44"/>
          <w:lang w:eastAsia="zh-CN"/>
        </w:rPr>
        <w:t>市灵活就业人员住房公积金缴存</w:t>
      </w:r>
      <w:r>
        <w:rPr>
          <w:rFonts w:hint="eastAsia" w:ascii="方正小标宋简体" w:hAnsi="方正小标宋简体" w:eastAsia="方正小标宋简体"/>
          <w:snapToGrid/>
          <w:sz w:val="44"/>
          <w:szCs w:val="44"/>
          <w:lang w:eastAsia="zh-CN"/>
        </w:rPr>
        <w:t>使用</w:t>
      </w:r>
      <w:r>
        <w:rPr>
          <w:rFonts w:ascii="方正小标宋简体" w:hAnsi="方正小标宋简体" w:eastAsia="方正小标宋简体"/>
          <w:snapToGrid/>
          <w:sz w:val="44"/>
          <w:szCs w:val="44"/>
          <w:lang w:eastAsia="zh-CN"/>
        </w:rPr>
        <w:t>协议</w:t>
      </w:r>
    </w:p>
    <w:p w14:paraId="4BA0322B">
      <w:pPr>
        <w:shd w:val="clear" w:color="auto" w:fill="FFFFFF"/>
        <w:kinsoku/>
        <w:autoSpaceDE/>
        <w:autoSpaceDN/>
        <w:adjustRightInd/>
        <w:snapToGrid/>
        <w:ind w:firstLine="220" w:firstLineChars="50"/>
        <w:jc w:val="center"/>
        <w:textAlignment w:val="auto"/>
        <w:rPr>
          <w:rFonts w:ascii="方正小标宋简体" w:hAnsi="方正小标宋简体" w:eastAsia="方正小标宋简体"/>
          <w:snapToGrid/>
          <w:sz w:val="44"/>
          <w:szCs w:val="44"/>
          <w:lang w:eastAsia="zh-CN"/>
        </w:rPr>
      </w:pPr>
    </w:p>
    <w:p w14:paraId="7720B5E7">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甲方：泰安市住房公积金中心</w:t>
      </w:r>
      <w:r>
        <w:rPr>
          <w:rFonts w:hint="eastAsia" w:ascii="仿宋_GB2312" w:eastAsia="仿宋_GB2312"/>
          <w:snapToGrid/>
          <w:sz w:val="30"/>
          <w:szCs w:val="30"/>
          <w:u w:val="single"/>
          <w:lang w:eastAsia="zh-CN"/>
        </w:rPr>
        <w:t xml:space="preserve">                              </w:t>
      </w:r>
    </w:p>
    <w:p w14:paraId="545DD71F">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地址：</w:t>
      </w:r>
      <w:r>
        <w:rPr>
          <w:rFonts w:hint="eastAsia" w:ascii="仿宋_GB2312" w:eastAsia="仿宋_GB2312"/>
          <w:snapToGrid/>
          <w:sz w:val="30"/>
          <w:szCs w:val="30"/>
          <w:u w:val="single"/>
          <w:lang w:eastAsia="zh-CN"/>
        </w:rPr>
        <w:t xml:space="preserve">                                                  </w:t>
      </w:r>
    </w:p>
    <w:p w14:paraId="7F4AF255">
      <w:pPr>
        <w:shd w:val="clear" w:color="auto" w:fill="FFFFFF"/>
        <w:kinsoku/>
        <w:autoSpaceDE/>
        <w:autoSpaceDN/>
        <w:adjustRightInd/>
        <w:snapToGrid/>
        <w:spacing w:line="560" w:lineRule="exact"/>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电话：0538-12329</w:t>
      </w:r>
    </w:p>
    <w:p w14:paraId="0EB73D20">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乙方（姓名）：</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手机号码：</w:t>
      </w:r>
      <w:r>
        <w:rPr>
          <w:rFonts w:hint="eastAsia" w:ascii="仿宋_GB2312" w:eastAsia="仿宋_GB2312"/>
          <w:snapToGrid/>
          <w:sz w:val="30"/>
          <w:szCs w:val="30"/>
          <w:u w:val="single"/>
          <w:lang w:eastAsia="zh-CN"/>
        </w:rPr>
        <w:t xml:space="preserve">                     </w:t>
      </w:r>
    </w:p>
    <w:p w14:paraId="450BB44B">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居民身份证号码：</w:t>
      </w:r>
      <w:r>
        <w:rPr>
          <w:rFonts w:hint="eastAsia" w:ascii="仿宋_GB2312" w:eastAsia="仿宋_GB2312"/>
          <w:snapToGrid/>
          <w:sz w:val="30"/>
          <w:szCs w:val="30"/>
          <w:u w:val="single"/>
          <w:lang w:eastAsia="zh-CN"/>
        </w:rPr>
        <w:t xml:space="preserve">                                        </w:t>
      </w:r>
    </w:p>
    <w:p w14:paraId="1BA37AA6">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家庭住址：</w:t>
      </w:r>
      <w:r>
        <w:rPr>
          <w:rFonts w:hint="eastAsia" w:ascii="仿宋_GB2312" w:eastAsia="仿宋_GB2312"/>
          <w:snapToGrid/>
          <w:sz w:val="30"/>
          <w:szCs w:val="30"/>
          <w:u w:val="single"/>
          <w:lang w:eastAsia="zh-CN"/>
        </w:rPr>
        <w:t xml:space="preserve">                                              </w:t>
      </w:r>
    </w:p>
    <w:p w14:paraId="29950C57">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紧急联系人（姓名）：</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手机号码：</w:t>
      </w:r>
      <w:r>
        <w:rPr>
          <w:rFonts w:hint="eastAsia" w:ascii="仿宋_GB2312" w:eastAsia="仿宋_GB2312"/>
          <w:snapToGrid/>
          <w:sz w:val="30"/>
          <w:szCs w:val="30"/>
          <w:u w:val="single"/>
          <w:lang w:eastAsia="zh-CN"/>
        </w:rPr>
        <w:t xml:space="preserve">              </w:t>
      </w:r>
    </w:p>
    <w:p w14:paraId="4C71DC58">
      <w:pPr>
        <w:shd w:val="clear" w:color="auto" w:fill="FFFFFF"/>
        <w:kinsoku/>
        <w:autoSpaceDE/>
        <w:autoSpaceDN/>
        <w:adjustRightInd/>
        <w:snapToGrid/>
        <w:spacing w:line="560" w:lineRule="exact"/>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紧急联系人与本人关系：□配偶□父母□子女□兄弟姐妹□其他</w:t>
      </w:r>
    </w:p>
    <w:p w14:paraId="35F41A69">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p>
    <w:p w14:paraId="4EF1F3BB">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为规范灵活就业人员住房公积金缴存、使用行为，经甲乙双方协商，达成如下协议。</w:t>
      </w:r>
    </w:p>
    <w:p w14:paraId="57870C06">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一、乙方确认并承诺：乙方为灵活就业人员，符合并自愿缴存住房公积金，遵守甲方缴存使用政策。本协议内容填写信息均准确无误，因虚假承诺或违规使用公积金造成的后果及法律责任由乙方自行承担。</w:t>
      </w:r>
    </w:p>
    <w:p w14:paraId="64F3CC87">
      <w:pPr>
        <w:widowControl w:val="0"/>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二、乙方按照以下缴存基数和缴存比例按月缴存住房公积金：</w:t>
      </w:r>
    </w:p>
    <w:p w14:paraId="27502CF0">
      <w:pPr>
        <w:widowControl w:val="0"/>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（1）缴存基数为</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元；（缴存基数最低为本市最低工资标准，上限不高于本市上一年度职工月平均工资的3倍，以元为单位，元以下四舍五入）</w:t>
      </w:r>
    </w:p>
    <w:p w14:paraId="46B8AC3D">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（2）缴存比例为</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%；（缴存比例应在10%-24%区间确定，取1%的整数倍）</w:t>
      </w:r>
    </w:p>
    <w:p w14:paraId="4B032D14">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（3）月缴存额为</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元；（月缴存额为缴存基数乘以缴存比例，以元为单位，元以下四舍五入）</w:t>
      </w:r>
    </w:p>
    <w:p w14:paraId="08E9A2BC">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三、乙方需提供本人在工商银行、农业银行、中国银行、建设银行、泰安银行任意一家银行开立的可正常使用的储蓄卡作为住房公积金缴存卡，并于每月15日前足额将月缴存额存入此卡，自愿委托银行办理甲方自动扣款业务。</w:t>
      </w:r>
    </w:p>
    <w:p w14:paraId="52981236">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缴存开户银行：</w:t>
      </w:r>
      <w:r>
        <w:rPr>
          <w:rFonts w:hint="eastAsia" w:ascii="仿宋_GB2312" w:eastAsia="仿宋_GB2312"/>
          <w:snapToGrid/>
          <w:sz w:val="30"/>
          <w:szCs w:val="30"/>
          <w:u w:val="single"/>
          <w:lang w:eastAsia="zh-CN"/>
        </w:rPr>
        <w:t xml:space="preserve">                                     </w:t>
      </w:r>
    </w:p>
    <w:p w14:paraId="40D2FC59">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银行账号：</w:t>
      </w:r>
      <w:r>
        <w:rPr>
          <w:rFonts w:hint="eastAsia" w:ascii="仿宋_GB2312" w:eastAsia="仿宋_GB2312"/>
          <w:snapToGrid/>
          <w:sz w:val="30"/>
          <w:szCs w:val="30"/>
          <w:u w:val="single"/>
          <w:lang w:eastAsia="zh-CN"/>
        </w:rPr>
        <w:t xml:space="preserve">                                         </w:t>
      </w:r>
    </w:p>
    <w:p w14:paraId="2B61DCB7">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四、因乙方付款账户挂失、冻结、销户、变更或余额不足等原因导致的甲方不能正常扣划所造成的不连续缴存或还贷逾期等后果由乙方承担。乙方未在协议约定时间内缴存住房公积金的，不得补缴；男性满60周岁、女性满55周岁，缴存账户转为封存状态，不得继续缴纳。连续3个月未正常缴存的，缴存账户转为封存状态，缴存账户封存后，如需继续缴存，需要乙方主动向甲方申请账户启封，连续缴存时间自恢复正常缴存当月起重新计算。乙方自协议签订之日起（从签订当月开始计算）超过6个月仍未缴存住房公积金且缴存账户余额为零的，协议自动解除。</w:t>
      </w:r>
    </w:p>
    <w:p w14:paraId="1CC2CF26">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 xml:space="preserve">五、乙方可申请对住房公积金的缴存基数和缴存比例进行调整，但应当在每年7月31日前提出，且每年仅可申请调整一次。    </w:t>
      </w:r>
    </w:p>
    <w:p w14:paraId="52AB0B88">
      <w:pPr>
        <w:widowControl w:val="0"/>
        <w:shd w:val="clear" w:color="auto" w:fill="FFFFFF"/>
        <w:kinsoku/>
        <w:autoSpaceDE/>
        <w:autoSpaceDN/>
        <w:adjustRightInd/>
        <w:snapToGrid/>
        <w:spacing w:line="560" w:lineRule="exact"/>
        <w:ind w:firstLine="601"/>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六、乙方办理缴存、使用住房公积金的其他事项，按照住房公积金相关业务管理办法及实施细则的相关规定执行。</w:t>
      </w:r>
    </w:p>
    <w:p w14:paraId="4B5A5005">
      <w:pPr>
        <w:widowControl w:val="0"/>
        <w:shd w:val="clear" w:color="auto" w:fill="FFFFFF"/>
        <w:kinsoku/>
        <w:autoSpaceDE/>
        <w:autoSpaceDN/>
        <w:adjustRightInd/>
        <w:snapToGrid/>
        <w:spacing w:line="560" w:lineRule="exact"/>
        <w:ind w:firstLine="601"/>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七、甲方应当保障乙方的个人信息安全，确保信息处理目的和处理方式符合最小必要原则。当依据本协议其他条款需要与其他有关部门或第三方机构提供乙方个人信息时，非经乙方同意，不得允许将未去标识化的乙方个人信息直接用于商业目的。</w:t>
      </w:r>
    </w:p>
    <w:p w14:paraId="2521A1D8">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 xml:space="preserve">八、本协议中乙方的家庭住址、手机号码等是乙方确认的有效送达地址。乙方应当自相关信息发生变更之日起7个工作日内到甲方业务网点办理。如乙方未在规定时间内进行信息变更，合同所涉通知、书面形式文件等均将被发往协议中载明的有效送达地址。因乙方拒收或因其他原因被退回时，乙方拒收或者被退回之日视为送达之日，甲方无须另行通知。  </w:t>
      </w:r>
    </w:p>
    <w:p w14:paraId="09CA5111">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九、乙方缴存的住房公积金自存入住房公积金账户之日起按照国家规定的利率计息。</w:t>
      </w:r>
    </w:p>
    <w:p w14:paraId="474AB789">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十、乙方如实填写本协议信息，签订本协议后即开设个人自愿缴存账户。</w:t>
      </w:r>
    </w:p>
    <w:p w14:paraId="13F67997">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hint="eastAsia" w:ascii="仿宋_GB2312" w:eastAsia="仿宋_GB2312"/>
          <w:snapToGrid/>
          <w:sz w:val="30"/>
          <w:szCs w:val="30"/>
          <w:lang w:eastAsia="zh-CN"/>
        </w:rPr>
        <w:t>十一、本协议一式贰份，自甲乙双方签订之日起生效。甲乙双方各执一份，均具有同等效力。</w:t>
      </w:r>
    </w:p>
    <w:p w14:paraId="21301322">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p>
    <w:p w14:paraId="2BBB0E88">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lang w:eastAsia="zh-CN"/>
        </w:rPr>
      </w:pPr>
    </w:p>
    <w:p w14:paraId="72AFA8B0">
      <w:pPr>
        <w:shd w:val="clear" w:color="auto" w:fill="FFFFFF"/>
        <w:kinsoku/>
        <w:autoSpaceDE/>
        <w:autoSpaceDN/>
        <w:adjustRightInd/>
        <w:snapToGrid/>
        <w:spacing w:line="560" w:lineRule="exact"/>
        <w:ind w:firstLine="600" w:firstLineChars="200"/>
        <w:textAlignment w:val="auto"/>
        <w:rPr>
          <w:rFonts w:ascii="仿宋_GB2312" w:eastAsia="仿宋_GB2312"/>
          <w:snapToGrid/>
          <w:sz w:val="30"/>
          <w:szCs w:val="30"/>
          <w:u w:val="single"/>
          <w:lang w:eastAsia="zh-CN"/>
        </w:rPr>
      </w:pPr>
      <w:r>
        <w:rPr>
          <w:rFonts w:hint="eastAsia" w:ascii="仿宋_GB2312" w:eastAsia="仿宋_GB2312"/>
          <w:snapToGrid/>
          <w:sz w:val="30"/>
          <w:szCs w:val="30"/>
          <w:lang w:eastAsia="zh-CN"/>
        </w:rPr>
        <w:t>甲方（签章）：            乙方签字：</w:t>
      </w:r>
      <w:r>
        <w:rPr>
          <w:rFonts w:hint="eastAsia" w:ascii="仿宋_GB2312" w:eastAsia="仿宋_GB2312"/>
          <w:snapToGrid/>
          <w:sz w:val="30"/>
          <w:szCs w:val="30"/>
          <w:u w:val="single"/>
          <w:lang w:eastAsia="zh-CN"/>
        </w:rPr>
        <w:t xml:space="preserve">             </w:t>
      </w:r>
    </w:p>
    <w:p w14:paraId="1F2DCAEF">
      <w:pPr>
        <w:shd w:val="clear" w:color="auto" w:fill="FFFFFF"/>
        <w:kinsoku/>
        <w:autoSpaceDE/>
        <w:autoSpaceDN/>
        <w:adjustRightInd/>
        <w:snapToGrid/>
        <w:spacing w:line="560" w:lineRule="exact"/>
        <w:ind w:firstLine="600"/>
        <w:textAlignment w:val="auto"/>
        <w:rPr>
          <w:rFonts w:hint="eastAsia" w:ascii="仿宋_GB2312" w:eastAsia="仿宋_GB2312"/>
          <w:snapToGrid/>
          <w:sz w:val="30"/>
          <w:szCs w:val="30"/>
          <w:lang w:eastAsia="zh-CN"/>
        </w:rPr>
      </w:pPr>
    </w:p>
    <w:p w14:paraId="251E6642">
      <w:pPr>
        <w:shd w:val="clear" w:color="auto" w:fill="FFFFFF"/>
        <w:kinsoku/>
        <w:autoSpaceDE/>
        <w:autoSpaceDN/>
        <w:adjustRightInd/>
        <w:snapToGrid/>
        <w:spacing w:line="560" w:lineRule="exact"/>
        <w:ind w:firstLine="600"/>
        <w:textAlignment w:val="auto"/>
        <w:rPr>
          <w:rFonts w:ascii="仿宋_GB2312" w:eastAsia="仿宋_GB2312"/>
          <w:snapToGrid/>
          <w:sz w:val="24"/>
          <w:szCs w:val="24"/>
          <w:lang w:eastAsia="zh-CN"/>
        </w:rPr>
      </w:pPr>
      <w:r>
        <w:rPr>
          <w:rFonts w:hint="eastAsia" w:ascii="仿宋_GB2312" w:eastAsia="仿宋_GB2312"/>
          <w:snapToGrid/>
          <w:sz w:val="30"/>
          <w:szCs w:val="30"/>
          <w:lang w:eastAsia="zh-CN"/>
        </w:rPr>
        <w:t>日期：</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年</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月</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日   日期：</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年</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月</w:t>
      </w:r>
      <w:r>
        <w:rPr>
          <w:rFonts w:hint="eastAsia" w:ascii="仿宋_GB2312" w:eastAsia="仿宋_GB2312"/>
          <w:snapToGrid/>
          <w:sz w:val="30"/>
          <w:szCs w:val="30"/>
          <w:u w:val="single"/>
          <w:lang w:eastAsia="zh-CN"/>
        </w:rPr>
        <w:t xml:space="preserve">   </w:t>
      </w:r>
      <w:r>
        <w:rPr>
          <w:rFonts w:hint="eastAsia" w:ascii="仿宋_GB2312" w:eastAsia="仿宋_GB2312"/>
          <w:snapToGrid/>
          <w:sz w:val="30"/>
          <w:szCs w:val="30"/>
          <w:lang w:eastAsia="zh-CN"/>
        </w:rPr>
        <w:t>日</w:t>
      </w:r>
    </w:p>
    <w:p w14:paraId="7BC02207">
      <w:pPr>
        <w:rPr>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410153"/>
      <w:docPartObj>
        <w:docPartGallery w:val="autotext"/>
      </w:docPartObj>
    </w:sdtPr>
    <w:sdtContent>
      <w:p w14:paraId="696FB5EE">
        <w:pPr>
          <w:pStyle w:val="3"/>
          <w:jc w:val="center"/>
        </w:pPr>
        <w:r>
          <w:fldChar w:fldCharType="begin"/>
        </w:r>
        <w:r>
          <w:instrText xml:space="preserve">PAGE   \* MERGEFORMAT</w:instrText>
        </w:r>
        <w:r>
          <w:fldChar w:fldCharType="separate"/>
        </w:r>
        <w:r>
          <w:rPr>
            <w:lang w:val="zh-CN" w:eastAsia="zh-CN"/>
          </w:rPr>
          <w:t>-</w:t>
        </w:r>
        <w:r>
          <w:t xml:space="preserve"> 1 -</w:t>
        </w:r>
        <w:r>
          <w:fldChar w:fldCharType="end"/>
        </w:r>
      </w:p>
    </w:sdtContent>
  </w:sdt>
  <w:p w14:paraId="156A333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5E"/>
    <w:rsid w:val="000B305E"/>
    <w:rsid w:val="000B543B"/>
    <w:rsid w:val="00217633"/>
    <w:rsid w:val="00220C4B"/>
    <w:rsid w:val="003B3414"/>
    <w:rsid w:val="003D52E0"/>
    <w:rsid w:val="003D72ED"/>
    <w:rsid w:val="005C06E5"/>
    <w:rsid w:val="00754A8D"/>
    <w:rsid w:val="00773AEF"/>
    <w:rsid w:val="007B092D"/>
    <w:rsid w:val="0082746C"/>
    <w:rsid w:val="0087013B"/>
    <w:rsid w:val="008B5FDD"/>
    <w:rsid w:val="008D0382"/>
    <w:rsid w:val="00996C09"/>
    <w:rsid w:val="00BA0A45"/>
    <w:rsid w:val="00DA3B58"/>
    <w:rsid w:val="00E25A9B"/>
    <w:rsid w:val="00E94997"/>
    <w:rsid w:val="00EA3BDB"/>
    <w:rsid w:val="00F85E47"/>
    <w:rsid w:val="3C64456C"/>
    <w:rsid w:val="43CA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qFormat/>
    <w:uiPriority w:val="0"/>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customStyle="1" w:styleId="7">
    <w:name w:val="Table Text"/>
    <w:basedOn w:val="1"/>
    <w:semiHidden/>
    <w:qFormat/>
    <w:uiPriority w:val="0"/>
    <w:rPr>
      <w:rFonts w:ascii="宋体" w:hAnsi="宋体" w:eastAsia="宋体" w:cs="宋体"/>
      <w:sz w:val="18"/>
      <w:szCs w:val="18"/>
    </w:rPr>
  </w:style>
  <w:style w:type="character" w:customStyle="1" w:styleId="8">
    <w:name w:val="正文文本 Char"/>
    <w:basedOn w:val="6"/>
    <w:link w:val="2"/>
    <w:semiHidden/>
    <w:uiPriority w:val="0"/>
    <w:rPr>
      <w:rFonts w:eastAsia="Arial"/>
      <w:snapToGrid w:val="0"/>
      <w:color w:val="000000"/>
      <w:sz w:val="21"/>
      <w:szCs w:val="21"/>
      <w:lang w:eastAsia="en-US"/>
    </w:rPr>
  </w:style>
  <w:style w:type="character" w:customStyle="1" w:styleId="9">
    <w:name w:val="页眉 Char"/>
    <w:basedOn w:val="6"/>
    <w:link w:val="4"/>
    <w:qFormat/>
    <w:uiPriority w:val="99"/>
    <w:rPr>
      <w:rFonts w:eastAsia="Arial"/>
      <w:snapToGrid w:val="0"/>
      <w:color w:val="000000"/>
      <w:sz w:val="18"/>
      <w:szCs w:val="18"/>
      <w:lang w:eastAsia="en-US"/>
    </w:rPr>
  </w:style>
  <w:style w:type="character" w:customStyle="1" w:styleId="10">
    <w:name w:val="页脚 Char"/>
    <w:basedOn w:val="6"/>
    <w:link w:val="3"/>
    <w:qFormat/>
    <w:uiPriority w:val="99"/>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1256</Words>
  <Characters>1276</Characters>
  <Lines>11</Lines>
  <Paragraphs>3</Paragraphs>
  <TotalTime>53</TotalTime>
  <ScaleCrop>false</ScaleCrop>
  <LinksUpToDate>false</LinksUpToDate>
  <CharactersWithSpaces>1655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2025-02-19T01:11:00Z</dcterms:created>
  <dc:creator>PC</dc:creator>
  <cp:lastModifiedBy>Administrator</cp:lastModifiedBy>
  <dcterms:modified xsi:type="dcterms:W3CDTF">2025-02-21T01:42:11Z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eyJoZGlkIjoiMGRmM2NlYzFhMTYyNWE0MDM4NWQ4YWIyODdiZWNhYjIifQ==</vt:lpwstr>
  </property>
  <property fmtid="{D5CDD505-2E9C-101B-9397-08002B2CF9AE}" pid="3" name="KSOProductBuildVer">
    <vt:lpwstr>2052-12.1.0.20305</vt:lpwstr>
  </property>
  <property fmtid="{D5CDD505-2E9C-101B-9397-08002B2CF9AE}" pid="4" name="ICV">
    <vt:lpwstr>91707ECD28C947928674118AEB42AD19_12</vt:lpwstr>
  </property>
</Properties>
</file>